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78B3" w14:textId="0D9255B6" w:rsidR="00F94D72" w:rsidRPr="00A42CCA" w:rsidRDefault="000E2618" w:rsidP="00737C53">
      <w:pPr>
        <w:pStyle w:val="Heading2"/>
        <w:jc w:val="center"/>
        <w:rPr>
          <w:rFonts w:ascii="Book Antiqua" w:hAnsi="Book Antiqua"/>
          <w:b w:val="0"/>
          <w:color w:val="303B70"/>
          <w:sz w:val="22"/>
          <w:szCs w:val="22"/>
          <w:u w:val="single"/>
        </w:rPr>
      </w:pPr>
      <w:r>
        <w:rPr>
          <w:rFonts w:ascii="Book Antiqua" w:hAnsi="Book Antiqua"/>
          <w:color w:val="303B70"/>
          <w:sz w:val="22"/>
          <w:szCs w:val="22"/>
          <w:u w:val="single"/>
        </w:rPr>
        <w:t>Appendix IV - Credit Card Process (</w:t>
      </w:r>
      <w:proofErr w:type="spellStart"/>
      <w:r>
        <w:rPr>
          <w:rFonts w:ascii="Book Antiqua" w:hAnsi="Book Antiqua"/>
          <w:color w:val="303B70"/>
          <w:sz w:val="22"/>
          <w:szCs w:val="22"/>
          <w:u w:val="single"/>
        </w:rPr>
        <w:t>Spendvision</w:t>
      </w:r>
      <w:proofErr w:type="spellEnd"/>
      <w:r>
        <w:rPr>
          <w:rFonts w:ascii="Book Antiqua" w:hAnsi="Book Antiqua"/>
          <w:color w:val="303B70"/>
          <w:sz w:val="22"/>
          <w:szCs w:val="22"/>
          <w:u w:val="single"/>
        </w:rPr>
        <w:t xml:space="preserve"> online portal)</w:t>
      </w:r>
    </w:p>
    <w:p w14:paraId="6DFF78BD" w14:textId="77777777" w:rsidR="00980EB8" w:rsidRPr="00C2099E" w:rsidRDefault="00980EB8" w:rsidP="00737C53">
      <w:pPr>
        <w:rPr>
          <w:rFonts w:ascii="Book Antiqua" w:hAnsi="Book Antiqua"/>
          <w:color w:val="303B7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27"/>
      </w:tblGrid>
      <w:tr w:rsidR="000E2618" w:rsidRPr="000E2618" w14:paraId="093E76CC" w14:textId="77777777" w:rsidTr="00423D50">
        <w:tc>
          <w:tcPr>
            <w:tcW w:w="1321" w:type="dxa"/>
            <w:shd w:val="clear" w:color="auto" w:fill="auto"/>
          </w:tcPr>
          <w:p w14:paraId="5846F3CD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20th of the month</w:t>
            </w:r>
          </w:p>
        </w:tc>
        <w:tc>
          <w:tcPr>
            <w:tcW w:w="8568" w:type="dxa"/>
            <w:shd w:val="clear" w:color="auto" w:fill="auto"/>
          </w:tcPr>
          <w:p w14:paraId="3503F08A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Finance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sends an email to all cardholders reminding them that all the card transactions must be coded, narrated and approved by 24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the month.</w:t>
            </w:r>
          </w:p>
          <w:p w14:paraId="732FBBA4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</w:tc>
      </w:tr>
      <w:tr w:rsidR="000E2618" w:rsidRPr="000E2618" w14:paraId="3D3BD17A" w14:textId="77777777" w:rsidTr="00423D50">
        <w:tc>
          <w:tcPr>
            <w:tcW w:w="1321" w:type="dxa"/>
            <w:shd w:val="clear" w:color="auto" w:fill="auto"/>
          </w:tcPr>
          <w:p w14:paraId="3C601918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21st to 24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month</w:t>
            </w:r>
          </w:p>
        </w:tc>
        <w:tc>
          <w:tcPr>
            <w:tcW w:w="8568" w:type="dxa"/>
            <w:shd w:val="clear" w:color="auto" w:fill="auto"/>
          </w:tcPr>
          <w:p w14:paraId="4DAF9545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Cardholders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log on to </w:t>
            </w:r>
            <w:proofErr w:type="spell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Spendvision</w:t>
            </w:r>
            <w:proofErr w:type="spell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website and 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approve,</w:t>
            </w:r>
            <w:proofErr w:type="gram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code and narrate all transactions.  The monthly cycle for credit cards finishes on 20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the month, so must approve, code and narrate all transactions between the 21st and 25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every month.</w:t>
            </w:r>
          </w:p>
          <w:p w14:paraId="63FE52F4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2EC14125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Cardholders can log into the website and 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approve,</w:t>
            </w:r>
            <w:proofErr w:type="gram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code and narrate transactions during the month as transactions are loaded onto the website the day after the expense is incurred.  We recommend doing this weekly on a Monday morning.</w:t>
            </w:r>
          </w:p>
          <w:p w14:paraId="46ECEE80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0A8677F9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bookmarkStart w:id="0" w:name="OLE_LINK1"/>
            <w:bookmarkStart w:id="1" w:name="OLE_LINK2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If cardholder knows they are going to be away, then 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approve,</w:t>
            </w:r>
            <w:proofErr w:type="gram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code and narrate before they go away.</w:t>
            </w:r>
            <w:bookmarkEnd w:id="0"/>
            <w:bookmarkEnd w:id="1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</w:t>
            </w:r>
          </w:p>
          <w:p w14:paraId="63B54C45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</w:tc>
      </w:tr>
      <w:tr w:rsidR="000E2618" w:rsidRPr="000E2618" w14:paraId="12EB419E" w14:textId="77777777" w:rsidTr="00423D50">
        <w:tc>
          <w:tcPr>
            <w:tcW w:w="1321" w:type="dxa"/>
            <w:shd w:val="clear" w:color="auto" w:fill="auto"/>
          </w:tcPr>
          <w:p w14:paraId="3AE00A11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25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the month</w:t>
            </w:r>
          </w:p>
        </w:tc>
        <w:tc>
          <w:tcPr>
            <w:tcW w:w="8568" w:type="dxa"/>
            <w:shd w:val="clear" w:color="auto" w:fill="auto"/>
          </w:tcPr>
          <w:p w14:paraId="3FEEF25C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Finance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sends an email to all managers reminding them that all the card transactions must be coded, narrated and approved by 27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the month.</w:t>
            </w:r>
          </w:p>
          <w:p w14:paraId="4CD49880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</w:tc>
      </w:tr>
      <w:tr w:rsidR="000E2618" w:rsidRPr="000E2618" w14:paraId="16A6C35F" w14:textId="77777777" w:rsidTr="00423D50">
        <w:tc>
          <w:tcPr>
            <w:tcW w:w="1321" w:type="dxa"/>
            <w:shd w:val="clear" w:color="auto" w:fill="auto"/>
          </w:tcPr>
          <w:p w14:paraId="6640F914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25th to 27th of month</w:t>
            </w:r>
          </w:p>
        </w:tc>
        <w:tc>
          <w:tcPr>
            <w:tcW w:w="8568" w:type="dxa"/>
            <w:shd w:val="clear" w:color="auto" w:fill="auto"/>
          </w:tcPr>
          <w:p w14:paraId="65A05452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Approvers/Managers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to log on to </w:t>
            </w:r>
            <w:proofErr w:type="spell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Spendvision</w:t>
            </w:r>
            <w:proofErr w:type="spell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website and approve transactions awaiting their approval for each of their staff members with credit cards.</w:t>
            </w:r>
          </w:p>
          <w:p w14:paraId="52CFC8BF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08552400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If manager knows they are going to be away, then ask cardholder to approve, code and narrate t</w:t>
            </w:r>
            <w:bookmarkStart w:id="2" w:name="_GoBack"/>
            <w:bookmarkEnd w:id="2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heir transactions earlier in the month, to enable manager to approve transactions earlier in the month.</w:t>
            </w:r>
          </w:p>
          <w:p w14:paraId="4552DAF5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</w:tc>
      </w:tr>
      <w:tr w:rsidR="000E2618" w:rsidRPr="000E2618" w14:paraId="07ACE89B" w14:textId="77777777" w:rsidTr="00423D50">
        <w:tc>
          <w:tcPr>
            <w:tcW w:w="1321" w:type="dxa"/>
            <w:shd w:val="clear" w:color="auto" w:fill="auto"/>
          </w:tcPr>
          <w:p w14:paraId="16A1C93D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24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  <w:vertAlign w:val="superscript"/>
              </w:rPr>
              <w:t>th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of the a month</w:t>
            </w:r>
          </w:p>
        </w:tc>
        <w:tc>
          <w:tcPr>
            <w:tcW w:w="8568" w:type="dxa"/>
            <w:shd w:val="clear" w:color="auto" w:fill="auto"/>
          </w:tcPr>
          <w:p w14:paraId="57B1E5B3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Cardholders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post a hard copy of the months statement from </w:t>
            </w:r>
            <w:proofErr w:type="spell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Spendvision</w:t>
            </w:r>
            <w:proofErr w:type="spell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website to finance along with:</w:t>
            </w:r>
          </w:p>
          <w:p w14:paraId="5EC5FB3D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6C442C9F" w14:textId="77777777" w:rsidR="000E2618" w:rsidRPr="000E2618" w:rsidRDefault="000E2618" w:rsidP="000E2618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A tax invoice for each transaction on the analysis summary attached to the statement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..</w:t>
            </w:r>
            <w:proofErr w:type="gramEnd"/>
          </w:p>
          <w:p w14:paraId="0E70CB52" w14:textId="77777777" w:rsidR="000E2618" w:rsidRPr="000E2618" w:rsidRDefault="000E2618" w:rsidP="000E2618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Each tax invoice should have a number on the bottom right hand corner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,  that</w:t>
            </w:r>
            <w:proofErr w:type="gram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correlates to a transaction number on the statement.</w:t>
            </w:r>
          </w:p>
          <w:p w14:paraId="1834D080" w14:textId="77777777" w:rsidR="000E2618" w:rsidRPr="000E2618" w:rsidRDefault="000E2618" w:rsidP="000E2618">
            <w:pPr>
              <w:numPr>
                <w:ilvl w:val="0"/>
                <w:numId w:val="18"/>
              </w:num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Invoices should be put in the same order as the transactions appear on the analysis summary.</w:t>
            </w:r>
          </w:p>
          <w:p w14:paraId="3D2F6B75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5F3A40BE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For example, if there are 10 transactions on your analysis summary, then you should write numbers 1 to 10 beside these transactions.  Similarly, your invoices will have the corresponding number </w:t>
            </w:r>
            <w:proofErr w:type="gramStart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between 1 to 10 on the right hand corner of each receipt</w:t>
            </w:r>
            <w:proofErr w:type="gramEnd"/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.  The receipts will then be sent to finance ordered from 1 to 10, with the analysis summary attached at the back of the receipts.</w:t>
            </w:r>
          </w:p>
          <w:p w14:paraId="58D29FAD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234483D8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Do not transfer the mess to the next person.  If cardholder cannot complete the above, then the person receiving the receipts in Finance has no chance.</w:t>
            </w:r>
          </w:p>
          <w:p w14:paraId="1682C0B3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  <w:p w14:paraId="31275497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Please note that EFTPOS printouts are not tax invoices.</w:t>
            </w:r>
          </w:p>
          <w:p w14:paraId="4CE4FC39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  <w:highlight w:val="yellow"/>
              </w:rPr>
            </w:pPr>
          </w:p>
        </w:tc>
      </w:tr>
      <w:tr w:rsidR="000E2618" w:rsidRPr="000E2618" w14:paraId="014CB58D" w14:textId="77777777" w:rsidTr="00423D50">
        <w:tc>
          <w:tcPr>
            <w:tcW w:w="1321" w:type="dxa"/>
            <w:shd w:val="clear" w:color="auto" w:fill="auto"/>
          </w:tcPr>
          <w:p w14:paraId="0F644A3E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28th of month</w:t>
            </w:r>
          </w:p>
        </w:tc>
        <w:tc>
          <w:tcPr>
            <w:tcW w:w="8568" w:type="dxa"/>
            <w:shd w:val="clear" w:color="auto" w:fill="auto"/>
          </w:tcPr>
          <w:p w14:paraId="1580EE63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b/>
                <w:color w:val="303B70"/>
                <w:sz w:val="20"/>
                <w:szCs w:val="20"/>
                <w:u w:val="single"/>
              </w:rPr>
              <w:t>Finance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spot checks receipts against analysis summary to ensure:</w:t>
            </w:r>
          </w:p>
          <w:p w14:paraId="0E4618D8" w14:textId="77777777" w:rsidR="000E2618" w:rsidRPr="000E2618" w:rsidRDefault="000E2618" w:rsidP="000E2618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A receipt has accompanied each expense transaction</w:t>
            </w:r>
          </w:p>
          <w:p w14:paraId="3233D7E2" w14:textId="76DD830A" w:rsidR="000E2618" w:rsidRPr="000E2618" w:rsidRDefault="000E2618" w:rsidP="000E2618">
            <w:pPr>
              <w:numPr>
                <w:ilvl w:val="0"/>
                <w:numId w:val="19"/>
              </w:num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Transactions are in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 xml:space="preserve"> </w:t>
            </w:r>
            <w:r w:rsidRPr="000E2618">
              <w:rPr>
                <w:rFonts w:ascii="Book Antiqua" w:hAnsi="Book Antiqua"/>
                <w:color w:val="303B70"/>
                <w:sz w:val="20"/>
                <w:szCs w:val="20"/>
              </w:rPr>
              <w:t>line with expenditure policy</w:t>
            </w:r>
          </w:p>
          <w:p w14:paraId="09EDC289" w14:textId="77777777" w:rsidR="000E2618" w:rsidRPr="000E2618" w:rsidRDefault="000E2618" w:rsidP="000E2618">
            <w:pPr>
              <w:spacing w:after="0" w:line="240" w:lineRule="auto"/>
              <w:rPr>
                <w:rFonts w:ascii="Book Antiqua" w:hAnsi="Book Antiqua"/>
                <w:color w:val="303B70"/>
                <w:sz w:val="20"/>
                <w:szCs w:val="20"/>
              </w:rPr>
            </w:pPr>
          </w:p>
        </w:tc>
      </w:tr>
    </w:tbl>
    <w:p w14:paraId="6DFF78BE" w14:textId="0243BFA0" w:rsidR="00980EB8" w:rsidRPr="009D1E49" w:rsidRDefault="00980EB8" w:rsidP="00621C41">
      <w:pPr>
        <w:rPr>
          <w:rFonts w:ascii="Book Antiqua" w:hAnsi="Book Antiqua"/>
          <w:color w:val="303B70"/>
          <w:sz w:val="20"/>
          <w:szCs w:val="20"/>
        </w:rPr>
      </w:pPr>
    </w:p>
    <w:sectPr w:rsidR="00980EB8" w:rsidRPr="009D1E49" w:rsidSect="007E39DA">
      <w:headerReference w:type="default" r:id="rId11"/>
      <w:headerReference w:type="first" r:id="rId12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F78C1" w14:textId="77777777" w:rsidR="00E2056A" w:rsidRDefault="00E2056A" w:rsidP="00991A34">
      <w:pPr>
        <w:spacing w:after="0" w:line="240" w:lineRule="auto"/>
      </w:pPr>
      <w:r>
        <w:separator/>
      </w:r>
    </w:p>
  </w:endnote>
  <w:endnote w:type="continuationSeparator" w:id="0">
    <w:p w14:paraId="6DFF78C2" w14:textId="77777777" w:rsidR="00E2056A" w:rsidRDefault="00E2056A" w:rsidP="0099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78BF" w14:textId="77777777" w:rsidR="00E2056A" w:rsidRDefault="00E2056A" w:rsidP="00991A34">
      <w:pPr>
        <w:spacing w:after="0" w:line="240" w:lineRule="auto"/>
      </w:pPr>
      <w:r>
        <w:separator/>
      </w:r>
    </w:p>
  </w:footnote>
  <w:footnote w:type="continuationSeparator" w:id="0">
    <w:p w14:paraId="6DFF78C0" w14:textId="77777777" w:rsidR="00E2056A" w:rsidRDefault="00E2056A" w:rsidP="0099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78D5" w14:textId="77777777" w:rsidR="00E2056A" w:rsidRDefault="00E2056A" w:rsidP="007E39D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5DDC" w14:textId="47D164E6" w:rsidR="007E39DA" w:rsidRDefault="007E39DA" w:rsidP="007E39DA">
    <w:pPr>
      <w:pStyle w:val="Header"/>
      <w:jc w:val="center"/>
    </w:pPr>
    <w:r>
      <w:rPr>
        <w:rFonts w:ascii="Arial" w:hAnsi="Arial" w:cs="Arial"/>
        <w:b/>
        <w:noProof/>
        <w:sz w:val="20"/>
        <w:szCs w:val="20"/>
        <w:lang w:eastAsia="en-NZ"/>
      </w:rPr>
      <w:drawing>
        <wp:inline distT="0" distB="0" distL="0" distR="0" wp14:anchorId="4718B714" wp14:editId="1A3446D8">
          <wp:extent cx="2619756" cy="5242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VinLtd_2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756" cy="52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0AE"/>
    <w:multiLevelType w:val="hybridMultilevel"/>
    <w:tmpl w:val="7EA04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F2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C16AF3"/>
    <w:multiLevelType w:val="hybridMultilevel"/>
    <w:tmpl w:val="DB1668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E2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A7B8E"/>
    <w:multiLevelType w:val="hybridMultilevel"/>
    <w:tmpl w:val="B34AB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73742"/>
    <w:multiLevelType w:val="hybridMultilevel"/>
    <w:tmpl w:val="5AC24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505D9"/>
    <w:multiLevelType w:val="hybridMultilevel"/>
    <w:tmpl w:val="14763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3B7"/>
    <w:multiLevelType w:val="hybridMultilevel"/>
    <w:tmpl w:val="9BEE9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8006A"/>
    <w:multiLevelType w:val="hybridMultilevel"/>
    <w:tmpl w:val="32DCA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83EE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265267"/>
    <w:multiLevelType w:val="hybridMultilevel"/>
    <w:tmpl w:val="131A5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476F"/>
    <w:multiLevelType w:val="hybridMultilevel"/>
    <w:tmpl w:val="5CF0F4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363F6"/>
    <w:multiLevelType w:val="hybridMultilevel"/>
    <w:tmpl w:val="45DC8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162EC"/>
    <w:multiLevelType w:val="hybridMultilevel"/>
    <w:tmpl w:val="9B523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0395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D519F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52AD5"/>
    <w:multiLevelType w:val="hybridMultilevel"/>
    <w:tmpl w:val="E1B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F25B9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C335C3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3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16"/>
  </w:num>
  <w:num w:numId="17">
    <w:abstractNumId w:val="11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4"/>
    <w:rsid w:val="0001319D"/>
    <w:rsid w:val="000847D5"/>
    <w:rsid w:val="000E2618"/>
    <w:rsid w:val="00162CAA"/>
    <w:rsid w:val="004B2880"/>
    <w:rsid w:val="004B6C3F"/>
    <w:rsid w:val="005226F8"/>
    <w:rsid w:val="00621C41"/>
    <w:rsid w:val="00633D20"/>
    <w:rsid w:val="00705994"/>
    <w:rsid w:val="00732D6A"/>
    <w:rsid w:val="00737C53"/>
    <w:rsid w:val="007E39DA"/>
    <w:rsid w:val="00953B83"/>
    <w:rsid w:val="00980EB8"/>
    <w:rsid w:val="00991A34"/>
    <w:rsid w:val="009D1E49"/>
    <w:rsid w:val="00A42CCA"/>
    <w:rsid w:val="00A709E6"/>
    <w:rsid w:val="00BF3E93"/>
    <w:rsid w:val="00C2099E"/>
    <w:rsid w:val="00D13A9E"/>
    <w:rsid w:val="00D83ACC"/>
    <w:rsid w:val="00E2056A"/>
    <w:rsid w:val="00E65A33"/>
    <w:rsid w:val="00F56D2B"/>
    <w:rsid w:val="00F94D72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FF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34"/>
  </w:style>
  <w:style w:type="paragraph" w:styleId="Footer">
    <w:name w:val="footer"/>
    <w:basedOn w:val="Normal"/>
    <w:link w:val="Foot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34"/>
  </w:style>
  <w:style w:type="paragraph" w:styleId="BalloonText">
    <w:name w:val="Balloon Text"/>
    <w:basedOn w:val="Normal"/>
    <w:link w:val="BalloonTextChar"/>
    <w:uiPriority w:val="99"/>
    <w:semiHidden/>
    <w:unhideWhenUsed/>
    <w:rsid w:val="009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2D6A"/>
    <w:pPr>
      <w:ind w:left="720"/>
      <w:contextualSpacing/>
    </w:pPr>
  </w:style>
  <w:style w:type="character" w:styleId="Hyperlink">
    <w:name w:val="Hyperlink"/>
    <w:rsid w:val="00F56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34"/>
  </w:style>
  <w:style w:type="paragraph" w:styleId="Footer">
    <w:name w:val="footer"/>
    <w:basedOn w:val="Normal"/>
    <w:link w:val="FooterChar"/>
    <w:uiPriority w:val="99"/>
    <w:unhideWhenUsed/>
    <w:rsid w:val="0099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34"/>
  </w:style>
  <w:style w:type="paragraph" w:styleId="BalloonText">
    <w:name w:val="Balloon Text"/>
    <w:basedOn w:val="Normal"/>
    <w:link w:val="BalloonTextChar"/>
    <w:uiPriority w:val="99"/>
    <w:semiHidden/>
    <w:unhideWhenUsed/>
    <w:rsid w:val="0099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2D6A"/>
    <w:pPr>
      <w:ind w:left="720"/>
      <w:contextualSpacing/>
    </w:pPr>
  </w:style>
  <w:style w:type="character" w:styleId="Hyperlink">
    <w:name w:val="Hyperlink"/>
    <w:rsid w:val="00F5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048BEC84C0429DE5701EDFD209C8" ma:contentTypeVersion="0" ma:contentTypeDescription="Create a new document." ma:contentTypeScope="" ma:versionID="0efb40b00c0cb71538cd9cce6d035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93734-CE23-4DA0-B03F-8C1177A1D92B}"/>
</file>

<file path=customXml/itemProps2.xml><?xml version="1.0" encoding="utf-8"?>
<ds:datastoreItem xmlns:ds="http://schemas.openxmlformats.org/officeDocument/2006/customXml" ds:itemID="{486EEEB8-FFB1-4FD3-BF0B-976EEB5FCA23}"/>
</file>

<file path=customXml/itemProps3.xml><?xml version="1.0" encoding="utf-8"?>
<ds:datastoreItem xmlns:ds="http://schemas.openxmlformats.org/officeDocument/2006/customXml" ds:itemID="{7B624CCA-54CC-4936-9DEA-9210E99BB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Procedure_Template</vt:lpstr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Procedure_Template</dc:title>
  <dc:creator>localadmin</dc:creator>
  <cp:lastModifiedBy>Natalie Corkery</cp:lastModifiedBy>
  <cp:revision>3</cp:revision>
  <cp:lastPrinted>2011-10-12T20:59:00Z</cp:lastPrinted>
  <dcterms:created xsi:type="dcterms:W3CDTF">2013-02-05T02:43:00Z</dcterms:created>
  <dcterms:modified xsi:type="dcterms:W3CDTF">2013-02-05T02:46:00Z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0x010100476B048BEC84C0429DE5701EDFD209C8</vt:lpwstr>
  </property>
</Properties>
</file>