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F78B3" w14:textId="42F16B17" w:rsidR="00F94D72" w:rsidRPr="00A42CCA" w:rsidRDefault="00D13A9E" w:rsidP="00737C53">
      <w:pPr>
        <w:pStyle w:val="Heading2"/>
        <w:jc w:val="center"/>
        <w:rPr>
          <w:rFonts w:ascii="Book Antiqua" w:hAnsi="Book Antiqua"/>
          <w:b w:val="0"/>
          <w:color w:val="303B70"/>
          <w:sz w:val="22"/>
          <w:szCs w:val="22"/>
          <w:u w:val="single"/>
        </w:rPr>
      </w:pPr>
      <w:r>
        <w:rPr>
          <w:rFonts w:ascii="Book Antiqua" w:hAnsi="Book Antiqua"/>
          <w:color w:val="303B70"/>
          <w:sz w:val="22"/>
          <w:szCs w:val="22"/>
          <w:u w:val="single"/>
        </w:rPr>
        <w:t>Debtors – New Account Procedure</w:t>
      </w:r>
    </w:p>
    <w:p w14:paraId="6DFF78BD" w14:textId="77777777" w:rsidR="00980EB8" w:rsidRPr="00C2099E" w:rsidRDefault="00980EB8" w:rsidP="00737C53">
      <w:pPr>
        <w:rPr>
          <w:rFonts w:ascii="Book Antiqua" w:hAnsi="Book Antiqua"/>
          <w:color w:val="303B7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3"/>
        <w:gridCol w:w="8044"/>
      </w:tblGrid>
      <w:tr w:rsidR="00621C41" w:rsidRPr="00621C41" w14:paraId="7328EF9F" w14:textId="77777777" w:rsidTr="00621C41">
        <w:trPr>
          <w:trHeight w:val="683"/>
        </w:trPr>
        <w:tc>
          <w:tcPr>
            <w:tcW w:w="1703" w:type="dxa"/>
          </w:tcPr>
          <w:p w14:paraId="7C1B03B6" w14:textId="77777777" w:rsidR="00621C41" w:rsidRPr="00621C41" w:rsidRDefault="00621C41" w:rsidP="00F56D2B">
            <w:p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621C41">
              <w:rPr>
                <w:rFonts w:ascii="Book Antiqua" w:eastAsiaTheme="majorEastAsia" w:hAnsi="Book Antiqua" w:cstheme="majorBidi"/>
                <w:bCs/>
                <w:color w:val="303B70"/>
              </w:rPr>
              <w:t>Step 1</w:t>
            </w:r>
          </w:p>
        </w:tc>
        <w:tc>
          <w:tcPr>
            <w:tcW w:w="8044" w:type="dxa"/>
          </w:tcPr>
          <w:p w14:paraId="27E8655C" w14:textId="77777777" w:rsidR="00F56D2B" w:rsidRPr="00F56D2B" w:rsidRDefault="00F56D2B" w:rsidP="00F56D2B">
            <w:p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Customer to complete the ‘application form.’  This form must be completed in full and signed by the customer.</w:t>
            </w:r>
          </w:p>
          <w:p w14:paraId="293DF430" w14:textId="77777777" w:rsidR="00F56D2B" w:rsidRPr="00F56D2B" w:rsidRDefault="00F56D2B" w:rsidP="00F56D2B">
            <w:p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If it is a large corporate (</w:t>
            </w:r>
            <w:proofErr w:type="spellStart"/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E.g</w:t>
            </w:r>
            <w:proofErr w:type="spellEnd"/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 xml:space="preserve"> Foodstuffs NZ or Waitrose – Grocery sector) then will usually have to use their terms and conditions.  Sales Manager to complete the </w:t>
            </w:r>
            <w:proofErr w:type="spellStart"/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basic’s</w:t>
            </w:r>
            <w:proofErr w:type="spellEnd"/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 xml:space="preserve"> of application form and attaches the customers terms and conditions.  Finance to review the terms and conditions and forward onto EC Credit Control for review if required.</w:t>
            </w:r>
          </w:p>
          <w:p w14:paraId="14545948" w14:textId="77777777" w:rsidR="00F56D2B" w:rsidRPr="00F56D2B" w:rsidRDefault="00F56D2B" w:rsidP="00F56D2B">
            <w:p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 xml:space="preserve">If it is a Tender, then the sales manager needs to fill out the form on the customers behalf (Sales Manager to attach a copy of the signed Tender document to the application form).  If it is a Tender, we would not need trade references </w:t>
            </w:r>
            <w:proofErr w:type="spellStart"/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etc</w:t>
            </w:r>
            <w:proofErr w:type="spellEnd"/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 xml:space="preserve"> as credit has already been approved by virtue of submission into the Tender.</w:t>
            </w:r>
          </w:p>
          <w:p w14:paraId="05C86074" w14:textId="7DBD6086" w:rsidR="00F56D2B" w:rsidRPr="00F56D2B" w:rsidRDefault="00F56D2B" w:rsidP="00F56D2B">
            <w:pPr>
              <w:numPr>
                <w:ilvl w:val="0"/>
                <w:numId w:val="14"/>
              </w:num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 xml:space="preserve">If it is an export customer we want to check before their credit worthiness before we proceed with discussion, then can complete the “Customer Application form – </w:t>
            </w:r>
            <w:proofErr w:type="spellStart"/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Non specific</w:t>
            </w:r>
            <w:proofErr w:type="spellEnd"/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” located in S:\Share\Sales\Account applications and credit control processes\Credit Insurance customer application form.  If the customer checks out, then should proceed with discussion and complete steps 1-9 before selling to them.</w:t>
            </w:r>
          </w:p>
        </w:tc>
      </w:tr>
      <w:tr w:rsidR="00621C41" w:rsidRPr="00621C41" w14:paraId="411D4C65" w14:textId="77777777" w:rsidTr="00621C41">
        <w:trPr>
          <w:trHeight w:val="702"/>
        </w:trPr>
        <w:tc>
          <w:tcPr>
            <w:tcW w:w="1703" w:type="dxa"/>
          </w:tcPr>
          <w:p w14:paraId="047D8A6C" w14:textId="77777777" w:rsidR="00621C41" w:rsidRPr="00621C41" w:rsidRDefault="00621C41" w:rsidP="00F56D2B">
            <w:p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621C41">
              <w:rPr>
                <w:rFonts w:ascii="Book Antiqua" w:eastAsiaTheme="majorEastAsia" w:hAnsi="Book Antiqua" w:cstheme="majorBidi"/>
                <w:bCs/>
                <w:color w:val="303B70"/>
              </w:rPr>
              <w:t>Step 2</w:t>
            </w:r>
          </w:p>
        </w:tc>
        <w:tc>
          <w:tcPr>
            <w:tcW w:w="8044" w:type="dxa"/>
          </w:tcPr>
          <w:p w14:paraId="38FC462F" w14:textId="702177E7" w:rsidR="00621C41" w:rsidRPr="00621C41" w:rsidRDefault="00F56D2B" w:rsidP="00F56D2B">
            <w:pPr>
              <w:spacing w:line="269" w:lineRule="auto"/>
              <w:rPr>
                <w:rFonts w:ascii="Book Antiqua" w:eastAsiaTheme="majorEastAsia" w:hAnsi="Book Antiqua" w:cstheme="majorBidi"/>
                <w:b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 xml:space="preserve">Sales Rep also gets email confirmation from Regional Sales Manager that they approve the new account and they approve the specific price level.  </w:t>
            </w:r>
            <w:r w:rsidRPr="00F56D2B">
              <w:rPr>
                <w:rFonts w:ascii="Book Antiqua" w:eastAsiaTheme="majorEastAsia" w:hAnsi="Book Antiqua" w:cstheme="majorBidi"/>
                <w:b/>
                <w:bCs/>
                <w:color w:val="303B70"/>
              </w:rPr>
              <w:t>Completed and signed form sent to Assistant Accountant</w:t>
            </w: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.</w:t>
            </w:r>
          </w:p>
        </w:tc>
      </w:tr>
      <w:tr w:rsidR="00621C41" w:rsidRPr="00621C41" w14:paraId="58B0D2C7" w14:textId="77777777" w:rsidTr="00621C41">
        <w:trPr>
          <w:trHeight w:val="842"/>
        </w:trPr>
        <w:tc>
          <w:tcPr>
            <w:tcW w:w="1703" w:type="dxa"/>
          </w:tcPr>
          <w:p w14:paraId="1C0897EF" w14:textId="77777777" w:rsidR="00621C41" w:rsidRPr="00621C41" w:rsidRDefault="00621C41" w:rsidP="00F56D2B">
            <w:p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621C41">
              <w:rPr>
                <w:rFonts w:ascii="Book Antiqua" w:eastAsiaTheme="majorEastAsia" w:hAnsi="Book Antiqua" w:cstheme="majorBidi"/>
                <w:bCs/>
                <w:color w:val="303B70"/>
              </w:rPr>
              <w:t>Step 3</w:t>
            </w:r>
          </w:p>
        </w:tc>
        <w:tc>
          <w:tcPr>
            <w:tcW w:w="8044" w:type="dxa"/>
          </w:tcPr>
          <w:p w14:paraId="1B4A63A9" w14:textId="77777777" w:rsidR="00F56D2B" w:rsidRPr="00F56D2B" w:rsidRDefault="00F56D2B" w:rsidP="00F56D2B">
            <w:p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Assistant Accountant to complete credit check through EC Credit Control.  Specifically:</w:t>
            </w:r>
          </w:p>
          <w:p w14:paraId="0FDE134E" w14:textId="77777777" w:rsidR="00F56D2B" w:rsidRPr="00F56D2B" w:rsidRDefault="00F56D2B" w:rsidP="00F56D2B">
            <w:pPr>
              <w:numPr>
                <w:ilvl w:val="0"/>
                <w:numId w:val="15"/>
              </w:num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 xml:space="preserve">Log onto the </w:t>
            </w:r>
            <w:hyperlink r:id="rId11" w:history="1">
              <w:r w:rsidRPr="00F56D2B">
                <w:rPr>
                  <w:rFonts w:ascii="Book Antiqua" w:eastAsiaTheme="majorEastAsia" w:hAnsi="Book Antiqua" w:cstheme="majorBidi"/>
                  <w:bCs/>
                  <w:color w:val="303B70"/>
                </w:rPr>
                <w:t>https://secure.eccreditcontrol.com/nz/</w:t>
              </w:r>
            </w:hyperlink>
          </w:p>
          <w:p w14:paraId="559740B2" w14:textId="77777777" w:rsidR="00F56D2B" w:rsidRPr="00F56D2B" w:rsidRDefault="00F56D2B" w:rsidP="00F56D2B">
            <w:pPr>
              <w:numPr>
                <w:ilvl w:val="0"/>
                <w:numId w:val="15"/>
              </w:num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Obtain the Company Plus report for NZ customers which will give an assessment of both the company and their directors; or</w:t>
            </w:r>
          </w:p>
          <w:p w14:paraId="7D4581BC" w14:textId="4ECD21EC" w:rsidR="00F56D2B" w:rsidRDefault="00F56D2B" w:rsidP="00F56D2B">
            <w:pPr>
              <w:numPr>
                <w:ilvl w:val="0"/>
                <w:numId w:val="15"/>
              </w:num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Obtain the equivalent to the Company Plus report for Export customers which will give an assessment of at least the company</w:t>
            </w:r>
          </w:p>
          <w:p w14:paraId="1737F4A3" w14:textId="21F601B2" w:rsidR="00F56D2B" w:rsidRPr="00F56D2B" w:rsidRDefault="00F56D2B" w:rsidP="00F56D2B">
            <w:pPr>
              <w:numPr>
                <w:ilvl w:val="0"/>
                <w:numId w:val="15"/>
              </w:num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Set up alert with EC Credit Control so we have emailed immediately if any defaults are registered against this customer by any third party</w:t>
            </w:r>
          </w:p>
        </w:tc>
      </w:tr>
      <w:tr w:rsidR="00621C41" w:rsidRPr="00621C41" w14:paraId="7FDF289D" w14:textId="77777777" w:rsidTr="00621C41">
        <w:trPr>
          <w:trHeight w:val="828"/>
        </w:trPr>
        <w:tc>
          <w:tcPr>
            <w:tcW w:w="1703" w:type="dxa"/>
          </w:tcPr>
          <w:p w14:paraId="1292F3AA" w14:textId="77777777" w:rsidR="00621C41" w:rsidRPr="00621C41" w:rsidRDefault="00621C41" w:rsidP="00F56D2B">
            <w:p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621C41">
              <w:rPr>
                <w:rFonts w:ascii="Book Antiqua" w:eastAsiaTheme="majorEastAsia" w:hAnsi="Book Antiqua" w:cstheme="majorBidi"/>
                <w:bCs/>
                <w:color w:val="303B70"/>
              </w:rPr>
              <w:t>Step 4</w:t>
            </w:r>
          </w:p>
        </w:tc>
        <w:tc>
          <w:tcPr>
            <w:tcW w:w="8044" w:type="dxa"/>
          </w:tcPr>
          <w:p w14:paraId="077E8208" w14:textId="77777777" w:rsidR="00F56D2B" w:rsidRPr="00F56D2B" w:rsidRDefault="00F56D2B" w:rsidP="00F56D2B">
            <w:p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Financial Controller to review the application form and the credit check form and assign a credit limit based on:</w:t>
            </w:r>
          </w:p>
          <w:p w14:paraId="1B4F324B" w14:textId="77777777" w:rsidR="00F56D2B" w:rsidRPr="00F56D2B" w:rsidRDefault="00F56D2B" w:rsidP="00F56D2B">
            <w:pPr>
              <w:numPr>
                <w:ilvl w:val="0"/>
                <w:numId w:val="15"/>
              </w:num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lastRenderedPageBreak/>
              <w:t>Results of the credit report above</w:t>
            </w:r>
          </w:p>
          <w:p w14:paraId="38B82FB0" w14:textId="72B20B7B" w:rsidR="00F56D2B" w:rsidRPr="00F56D2B" w:rsidRDefault="00F56D2B" w:rsidP="00F56D2B">
            <w:pPr>
              <w:numPr>
                <w:ilvl w:val="0"/>
                <w:numId w:val="15"/>
              </w:num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Credit limit is minimized based on forecasted monthly sales</w:t>
            </w:r>
          </w:p>
          <w:p w14:paraId="14183613" w14:textId="75DD360F" w:rsidR="00621C41" w:rsidRPr="00F56D2B" w:rsidRDefault="00F56D2B" w:rsidP="00F56D2B">
            <w:p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Financial Controller can allocate a credit limit of up to $250,000.  Credit limits over $250,000 need secondary approva</w:t>
            </w:r>
            <w:r>
              <w:rPr>
                <w:rFonts w:ascii="Book Antiqua" w:eastAsiaTheme="majorEastAsia" w:hAnsi="Book Antiqua" w:cstheme="majorBidi"/>
                <w:bCs/>
                <w:color w:val="303B70"/>
              </w:rPr>
              <w:t>l from Chief Operating Officer.</w:t>
            </w:r>
          </w:p>
        </w:tc>
      </w:tr>
      <w:tr w:rsidR="00621C41" w:rsidRPr="00621C41" w14:paraId="08FB9B25" w14:textId="77777777" w:rsidTr="00621C41">
        <w:trPr>
          <w:trHeight w:val="82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0FF3" w14:textId="77777777" w:rsidR="00621C41" w:rsidRPr="00621C41" w:rsidRDefault="00621C41" w:rsidP="00F56D2B">
            <w:p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621C41">
              <w:rPr>
                <w:rFonts w:ascii="Book Antiqua" w:eastAsiaTheme="majorEastAsia" w:hAnsi="Book Antiqua" w:cstheme="majorBidi"/>
                <w:bCs/>
                <w:color w:val="303B70"/>
              </w:rPr>
              <w:lastRenderedPageBreak/>
              <w:t>Step 5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5DEB" w14:textId="77777777" w:rsidR="00F56D2B" w:rsidRDefault="00F56D2B" w:rsidP="00F56D2B">
            <w:p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Financial Controller to determine if additional credit insurance is required to cover the new customers.  Credit insurance must be in place be</w:t>
            </w:r>
            <w:r>
              <w:rPr>
                <w:rFonts w:ascii="Book Antiqua" w:eastAsiaTheme="majorEastAsia" w:hAnsi="Book Antiqua" w:cstheme="majorBidi"/>
                <w:bCs/>
                <w:color w:val="303B70"/>
              </w:rPr>
              <w:t>fore an order can be processed.</w:t>
            </w:r>
          </w:p>
          <w:p w14:paraId="3011C96A" w14:textId="19E9D604" w:rsidR="00F56D2B" w:rsidRPr="00F56D2B" w:rsidRDefault="00F56D2B" w:rsidP="00F56D2B">
            <w:pPr>
              <w:pStyle w:val="ListParagraph"/>
              <w:numPr>
                <w:ilvl w:val="0"/>
                <w:numId w:val="17"/>
              </w:num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 xml:space="preserve">If it is a new export customer, then need to complete the “Customer Application form – </w:t>
            </w:r>
            <w:proofErr w:type="spellStart"/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Non specific</w:t>
            </w:r>
            <w:proofErr w:type="spellEnd"/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 xml:space="preserve">” located in </w:t>
            </w:r>
            <w:r w:rsidRPr="00F56D2B">
              <w:rPr>
                <w:rFonts w:ascii="Book Antiqua" w:eastAsiaTheme="majorEastAsia" w:hAnsi="Book Antiqua" w:cstheme="majorBidi"/>
                <w:b/>
                <w:bCs/>
                <w:color w:val="303B70"/>
              </w:rPr>
              <w:t>S:\Share\Sales\Account applications and credit control processes\Credit Insurance customer application form</w:t>
            </w:r>
          </w:p>
          <w:p w14:paraId="0ADD5267" w14:textId="3409234D" w:rsidR="00F56D2B" w:rsidRPr="00F56D2B" w:rsidRDefault="00F56D2B" w:rsidP="00F56D2B">
            <w:pPr>
              <w:pStyle w:val="ListParagraph"/>
              <w:numPr>
                <w:ilvl w:val="0"/>
                <w:numId w:val="17"/>
              </w:num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 xml:space="preserve">If it is a new export customer, who will never have sales exceeding $20k per shipment, then just need to email Aon and get the country of the customer approved (not the customer).  </w:t>
            </w:r>
          </w:p>
          <w:p w14:paraId="3092C0CF" w14:textId="3AFF932B" w:rsidR="00621C41" w:rsidRPr="00621C41" w:rsidRDefault="00F56D2B" w:rsidP="00F56D2B">
            <w:pPr>
              <w:spacing w:line="269" w:lineRule="auto"/>
              <w:rPr>
                <w:rFonts w:ascii="Book Antiqua" w:hAnsi="Book Antiqua"/>
                <w:color w:val="000000"/>
                <w:lang w:val="en-US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If credit insurance is not available for that customer (via our normal insurance provider), then contact Tim Robinson and arrange Government back insurance cover.</w:t>
            </w:r>
          </w:p>
        </w:tc>
      </w:tr>
      <w:tr w:rsidR="00621C41" w:rsidRPr="00621C41" w14:paraId="7914DC40" w14:textId="77777777" w:rsidTr="00621C41">
        <w:trPr>
          <w:trHeight w:val="82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9B08" w14:textId="3285F389" w:rsidR="00621C41" w:rsidRPr="00F56D2B" w:rsidRDefault="00F56D2B" w:rsidP="00F56D2B">
            <w:p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>
              <w:rPr>
                <w:rFonts w:ascii="Book Antiqua" w:eastAsiaTheme="majorEastAsia" w:hAnsi="Book Antiqua" w:cstheme="majorBidi"/>
                <w:bCs/>
                <w:color w:val="303B70"/>
              </w:rPr>
              <w:t>Step 6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4B6A" w14:textId="57A37C00" w:rsidR="00621C41" w:rsidRPr="00F56D2B" w:rsidRDefault="00F56D2B" w:rsidP="00F56D2B">
            <w:p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If credit insurance is not available for that customer (via our normal insurance provider), then contact Tim Robinson and arrange Government back insurance cover.</w:t>
            </w:r>
          </w:p>
        </w:tc>
      </w:tr>
      <w:tr w:rsidR="00621C41" w:rsidRPr="00621C41" w14:paraId="3D9DF4A3" w14:textId="77777777" w:rsidTr="00621C41">
        <w:trPr>
          <w:trHeight w:val="82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CAD" w14:textId="60BEF26D" w:rsidR="00621C41" w:rsidRPr="00F56D2B" w:rsidRDefault="00F56D2B" w:rsidP="00F56D2B">
            <w:p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>
              <w:rPr>
                <w:rFonts w:ascii="Book Antiqua" w:eastAsiaTheme="majorEastAsia" w:hAnsi="Book Antiqua" w:cstheme="majorBidi"/>
                <w:bCs/>
                <w:color w:val="303B70"/>
              </w:rPr>
              <w:t>Step 7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DF3D" w14:textId="4E7C8BDA" w:rsidR="00621C41" w:rsidRPr="00F56D2B" w:rsidRDefault="00F56D2B" w:rsidP="00F56D2B">
            <w:p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Assistant Accountant to register a PPSR against the customer and set up an ‘adverse information’ alert through EC Credit Control website.</w:t>
            </w:r>
          </w:p>
        </w:tc>
      </w:tr>
      <w:tr w:rsidR="00621C41" w:rsidRPr="00621C41" w14:paraId="2DDB8F25" w14:textId="77777777" w:rsidTr="00621C41">
        <w:trPr>
          <w:trHeight w:val="82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402" w14:textId="63105E0E" w:rsidR="00621C41" w:rsidRPr="00F56D2B" w:rsidRDefault="00F56D2B" w:rsidP="00F56D2B">
            <w:p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>
              <w:rPr>
                <w:rFonts w:ascii="Book Antiqua" w:eastAsiaTheme="majorEastAsia" w:hAnsi="Book Antiqua" w:cstheme="majorBidi"/>
                <w:bCs/>
                <w:color w:val="303B70"/>
              </w:rPr>
              <w:t>Step 8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5EB" w14:textId="7DE0877E" w:rsidR="00621C41" w:rsidRPr="00F56D2B" w:rsidRDefault="00F56D2B" w:rsidP="00F56D2B">
            <w:p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 xml:space="preserve">Hand completed application to Sales Support Team to open account in </w:t>
            </w:r>
            <w:proofErr w:type="spellStart"/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Exonet</w:t>
            </w:r>
            <w:proofErr w:type="spellEnd"/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 xml:space="preserve"> (ensure price level confirmation from step 2 is included).  Sales Support will also advise the relevant Sales Manager that the account is open.</w:t>
            </w:r>
          </w:p>
        </w:tc>
      </w:tr>
      <w:tr w:rsidR="00F56D2B" w:rsidRPr="00621C41" w14:paraId="07A3211C" w14:textId="77777777" w:rsidTr="00621C41">
        <w:trPr>
          <w:trHeight w:val="82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71AB" w14:textId="1839EF2A" w:rsidR="00F56D2B" w:rsidRDefault="00F56D2B" w:rsidP="00F56D2B">
            <w:p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>
              <w:rPr>
                <w:rFonts w:ascii="Book Antiqua" w:eastAsiaTheme="majorEastAsia" w:hAnsi="Book Antiqua" w:cstheme="majorBidi"/>
                <w:bCs/>
                <w:color w:val="303B70"/>
              </w:rPr>
              <w:t>Step 9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A9BA" w14:textId="1CFABA95" w:rsidR="00F56D2B" w:rsidRPr="00F56D2B" w:rsidRDefault="00F56D2B" w:rsidP="00F56D2B">
            <w:pPr>
              <w:spacing w:line="269" w:lineRule="auto"/>
              <w:rPr>
                <w:rFonts w:ascii="Book Antiqua" w:eastAsiaTheme="majorEastAsia" w:hAnsi="Book Antiqua" w:cstheme="majorBidi"/>
                <w:bCs/>
                <w:color w:val="303B70"/>
              </w:rPr>
            </w:pPr>
            <w:r w:rsidRPr="00F56D2B">
              <w:rPr>
                <w:rFonts w:ascii="Book Antiqua" w:eastAsiaTheme="majorEastAsia" w:hAnsi="Book Antiqua" w:cstheme="majorBidi"/>
                <w:bCs/>
                <w:color w:val="303B70"/>
              </w:rPr>
              <w:t>Sales Support Team scan a copy of</w:t>
            </w:r>
            <w:r>
              <w:rPr>
                <w:rFonts w:ascii="Book Antiqua" w:eastAsiaTheme="majorEastAsia" w:hAnsi="Book Antiqua" w:cstheme="majorBidi"/>
                <w:bCs/>
                <w:color w:val="303B70"/>
              </w:rPr>
              <w:t xml:space="preserve"> the completed application form and save</w:t>
            </w:r>
          </w:p>
        </w:tc>
      </w:tr>
    </w:tbl>
    <w:p w14:paraId="5B0F4FD0" w14:textId="77777777" w:rsidR="00621C41" w:rsidRPr="00F56D2B" w:rsidRDefault="00621C41" w:rsidP="00621C41">
      <w:pPr>
        <w:rPr>
          <w:rFonts w:ascii="Book Antiqua" w:eastAsiaTheme="majorEastAsia" w:hAnsi="Book Antiqua" w:cstheme="majorBidi"/>
          <w:bCs/>
          <w:color w:val="FF0000"/>
        </w:rPr>
      </w:pPr>
      <w:bookmarkStart w:id="0" w:name="_GoBack"/>
      <w:bookmarkEnd w:id="0"/>
    </w:p>
    <w:p w14:paraId="021B808C" w14:textId="77777777" w:rsidR="00F56D2B" w:rsidRPr="00F56D2B" w:rsidRDefault="00F56D2B" w:rsidP="00F56D2B">
      <w:pPr>
        <w:numPr>
          <w:ilvl w:val="0"/>
          <w:numId w:val="9"/>
        </w:numPr>
        <w:spacing w:after="0" w:line="240" w:lineRule="auto"/>
        <w:rPr>
          <w:rFonts w:ascii="Book Antiqua" w:eastAsiaTheme="majorEastAsia" w:hAnsi="Book Antiqua" w:cstheme="majorBidi"/>
          <w:bCs/>
          <w:color w:val="FF0000"/>
        </w:rPr>
      </w:pPr>
      <w:r w:rsidRPr="00F56D2B">
        <w:rPr>
          <w:rFonts w:ascii="Book Antiqua" w:eastAsiaTheme="majorEastAsia" w:hAnsi="Book Antiqua" w:cstheme="majorBidi"/>
          <w:bCs/>
          <w:color w:val="FF0000"/>
        </w:rPr>
        <w:t xml:space="preserve">Even if a customer is paying for their first shipment as cash or providing a letter of credit, you are still required to complete the above steps. </w:t>
      </w:r>
    </w:p>
    <w:p w14:paraId="68840A78" w14:textId="77777777" w:rsidR="00F56D2B" w:rsidRPr="00F56D2B" w:rsidRDefault="00F56D2B" w:rsidP="00F56D2B">
      <w:pPr>
        <w:spacing w:after="0" w:line="240" w:lineRule="auto"/>
        <w:ind w:left="720"/>
        <w:rPr>
          <w:rFonts w:ascii="Book Antiqua" w:eastAsiaTheme="majorEastAsia" w:hAnsi="Book Antiqua" w:cstheme="majorBidi"/>
          <w:bCs/>
          <w:color w:val="FF0000"/>
        </w:rPr>
      </w:pPr>
    </w:p>
    <w:p w14:paraId="11B3495B" w14:textId="741F1C0D" w:rsidR="00F56D2B" w:rsidRPr="00F56D2B" w:rsidRDefault="00F56D2B" w:rsidP="00F56D2B">
      <w:pPr>
        <w:numPr>
          <w:ilvl w:val="0"/>
          <w:numId w:val="9"/>
        </w:numPr>
        <w:spacing w:after="0" w:line="240" w:lineRule="auto"/>
        <w:rPr>
          <w:rFonts w:ascii="Book Antiqua" w:eastAsiaTheme="majorEastAsia" w:hAnsi="Book Antiqua" w:cstheme="majorBidi"/>
          <w:bCs/>
          <w:color w:val="FF0000"/>
        </w:rPr>
      </w:pPr>
      <w:r w:rsidRPr="00F56D2B">
        <w:rPr>
          <w:rFonts w:ascii="Book Antiqua" w:eastAsiaTheme="majorEastAsia" w:hAnsi="Book Antiqua" w:cstheme="majorBidi"/>
          <w:bCs/>
          <w:color w:val="FF0000"/>
        </w:rPr>
        <w:t>No sales orders can be processed before the above is completed in full.</w:t>
      </w:r>
    </w:p>
    <w:p w14:paraId="2611D1F2" w14:textId="77777777" w:rsidR="00F56D2B" w:rsidRPr="00F56D2B" w:rsidRDefault="00F56D2B" w:rsidP="00F56D2B">
      <w:pPr>
        <w:rPr>
          <w:rFonts w:ascii="Book Antiqua" w:eastAsiaTheme="majorEastAsia" w:hAnsi="Book Antiqua" w:cstheme="majorBidi"/>
          <w:bCs/>
          <w:color w:val="FF0000"/>
        </w:rPr>
      </w:pPr>
    </w:p>
    <w:p w14:paraId="6DFF78BE" w14:textId="0243BFA0" w:rsidR="00980EB8" w:rsidRPr="009D1E49" w:rsidRDefault="00980EB8" w:rsidP="00621C41">
      <w:pPr>
        <w:rPr>
          <w:rFonts w:ascii="Book Antiqua" w:hAnsi="Book Antiqua"/>
          <w:color w:val="303B70"/>
          <w:sz w:val="20"/>
          <w:szCs w:val="20"/>
        </w:rPr>
      </w:pPr>
    </w:p>
    <w:sectPr w:rsidR="00980EB8" w:rsidRPr="009D1E49" w:rsidSect="007E39DA">
      <w:headerReference w:type="default" r:id="rId12"/>
      <w:headerReference w:type="first" r:id="rId13"/>
      <w:pgSz w:w="11906" w:h="16838"/>
      <w:pgMar w:top="1440" w:right="1247" w:bottom="144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F78C1" w14:textId="77777777" w:rsidR="00E2056A" w:rsidRDefault="00E2056A" w:rsidP="00991A34">
      <w:pPr>
        <w:spacing w:after="0" w:line="240" w:lineRule="auto"/>
      </w:pPr>
      <w:r>
        <w:separator/>
      </w:r>
    </w:p>
  </w:endnote>
  <w:endnote w:type="continuationSeparator" w:id="0">
    <w:p w14:paraId="6DFF78C2" w14:textId="77777777" w:rsidR="00E2056A" w:rsidRDefault="00E2056A" w:rsidP="0099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F78BF" w14:textId="77777777" w:rsidR="00E2056A" w:rsidRDefault="00E2056A" w:rsidP="00991A34">
      <w:pPr>
        <w:spacing w:after="0" w:line="240" w:lineRule="auto"/>
      </w:pPr>
      <w:r>
        <w:separator/>
      </w:r>
    </w:p>
  </w:footnote>
  <w:footnote w:type="continuationSeparator" w:id="0">
    <w:p w14:paraId="6DFF78C0" w14:textId="77777777" w:rsidR="00E2056A" w:rsidRDefault="00E2056A" w:rsidP="0099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F78D5" w14:textId="77777777" w:rsidR="00E2056A" w:rsidRDefault="00E2056A" w:rsidP="007E39D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55DDC" w14:textId="47D164E6" w:rsidR="007E39DA" w:rsidRDefault="007E39DA" w:rsidP="007E39DA">
    <w:pPr>
      <w:pStyle w:val="Header"/>
      <w:jc w:val="center"/>
    </w:pPr>
    <w:r>
      <w:rPr>
        <w:rFonts w:ascii="Arial" w:hAnsi="Arial" w:cs="Arial"/>
        <w:b/>
        <w:noProof/>
        <w:sz w:val="20"/>
        <w:szCs w:val="20"/>
        <w:lang w:eastAsia="en-NZ"/>
      </w:rPr>
      <w:drawing>
        <wp:inline distT="0" distB="0" distL="0" distR="0" wp14:anchorId="4718B714" wp14:editId="1A3446D8">
          <wp:extent cx="2619756" cy="52425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VinLtd_2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756" cy="52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0AE"/>
    <w:multiLevelType w:val="hybridMultilevel"/>
    <w:tmpl w:val="7EA049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34F2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C16AF3"/>
    <w:multiLevelType w:val="hybridMultilevel"/>
    <w:tmpl w:val="DB1668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50E27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CA7B8E"/>
    <w:multiLevelType w:val="hybridMultilevel"/>
    <w:tmpl w:val="B34AB1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505D9"/>
    <w:multiLevelType w:val="hybridMultilevel"/>
    <w:tmpl w:val="147637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A53B7"/>
    <w:multiLevelType w:val="hybridMultilevel"/>
    <w:tmpl w:val="9BEE9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C8006A"/>
    <w:multiLevelType w:val="hybridMultilevel"/>
    <w:tmpl w:val="32DCA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83EEB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265267"/>
    <w:multiLevelType w:val="hybridMultilevel"/>
    <w:tmpl w:val="131A54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B476F"/>
    <w:multiLevelType w:val="hybridMultilevel"/>
    <w:tmpl w:val="5CF0F4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162EC"/>
    <w:multiLevelType w:val="hybridMultilevel"/>
    <w:tmpl w:val="9B523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03957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D519F6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8152AD5"/>
    <w:multiLevelType w:val="hybridMultilevel"/>
    <w:tmpl w:val="E1B6A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25B9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7C335C3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3"/>
  </w:num>
  <w:num w:numId="5">
    <w:abstractNumId w:val="16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6"/>
  </w:num>
  <w:num w:numId="15">
    <w:abstractNumId w:val="7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34"/>
    <w:rsid w:val="0001319D"/>
    <w:rsid w:val="000847D5"/>
    <w:rsid w:val="004B2880"/>
    <w:rsid w:val="004B6C3F"/>
    <w:rsid w:val="005226F8"/>
    <w:rsid w:val="00621C41"/>
    <w:rsid w:val="00633D20"/>
    <w:rsid w:val="00705994"/>
    <w:rsid w:val="00732D6A"/>
    <w:rsid w:val="00737C53"/>
    <w:rsid w:val="007E39DA"/>
    <w:rsid w:val="00953B83"/>
    <w:rsid w:val="00980EB8"/>
    <w:rsid w:val="00991A34"/>
    <w:rsid w:val="009D1E49"/>
    <w:rsid w:val="00A42CCA"/>
    <w:rsid w:val="00A709E6"/>
    <w:rsid w:val="00BF3E93"/>
    <w:rsid w:val="00C2099E"/>
    <w:rsid w:val="00D13A9E"/>
    <w:rsid w:val="00D83ACC"/>
    <w:rsid w:val="00E2056A"/>
    <w:rsid w:val="00E65A33"/>
    <w:rsid w:val="00F56D2B"/>
    <w:rsid w:val="00F94D72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FF7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A34"/>
  </w:style>
  <w:style w:type="paragraph" w:styleId="Footer">
    <w:name w:val="footer"/>
    <w:basedOn w:val="Normal"/>
    <w:link w:val="FooterChar"/>
    <w:uiPriority w:val="99"/>
    <w:unhideWhenUsed/>
    <w:rsid w:val="0099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34"/>
  </w:style>
  <w:style w:type="paragraph" w:styleId="BalloonText">
    <w:name w:val="Balloon Text"/>
    <w:basedOn w:val="Normal"/>
    <w:link w:val="BalloonTextChar"/>
    <w:uiPriority w:val="99"/>
    <w:semiHidden/>
    <w:unhideWhenUsed/>
    <w:rsid w:val="0099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8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8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32D6A"/>
    <w:pPr>
      <w:ind w:left="720"/>
      <w:contextualSpacing/>
    </w:pPr>
  </w:style>
  <w:style w:type="character" w:styleId="Hyperlink">
    <w:name w:val="Hyperlink"/>
    <w:rsid w:val="00F56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A34"/>
  </w:style>
  <w:style w:type="paragraph" w:styleId="Footer">
    <w:name w:val="footer"/>
    <w:basedOn w:val="Normal"/>
    <w:link w:val="FooterChar"/>
    <w:uiPriority w:val="99"/>
    <w:unhideWhenUsed/>
    <w:rsid w:val="0099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34"/>
  </w:style>
  <w:style w:type="paragraph" w:styleId="BalloonText">
    <w:name w:val="Balloon Text"/>
    <w:basedOn w:val="Normal"/>
    <w:link w:val="BalloonTextChar"/>
    <w:uiPriority w:val="99"/>
    <w:semiHidden/>
    <w:unhideWhenUsed/>
    <w:rsid w:val="0099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8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8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32D6A"/>
    <w:pPr>
      <w:ind w:left="720"/>
      <w:contextualSpacing/>
    </w:pPr>
  </w:style>
  <w:style w:type="character" w:styleId="Hyperlink">
    <w:name w:val="Hyperlink"/>
    <w:rsid w:val="00F56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secure.eccreditcontrol.com/nz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048BEC84C0429DE5701EDFD209C8" ma:contentTypeVersion="0" ma:contentTypeDescription="Create a new document." ma:contentTypeScope="" ma:versionID="0efb40b00c0cb71538cd9cce6d035b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C536F-5C52-4BCC-A25F-8763F66DB5C2}"/>
</file>

<file path=customXml/itemProps2.xml><?xml version="1.0" encoding="utf-8"?>
<ds:datastoreItem xmlns:ds="http://schemas.openxmlformats.org/officeDocument/2006/customXml" ds:itemID="{7B624CCA-54CC-4936-9DEA-9210E99BB8BA}"/>
</file>

<file path=customXml/itemProps3.xml><?xml version="1.0" encoding="utf-8"?>
<ds:datastoreItem xmlns:ds="http://schemas.openxmlformats.org/officeDocument/2006/customXml" ds:itemID="{486EEEB8-FFB1-4FD3-BF0B-976EEB5FCA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Procedure_Template</vt:lpstr>
    </vt:vector>
  </TitlesOfParts>
  <Company>HP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customer account procedure</dc:title>
  <dc:creator>localadmin</dc:creator>
  <cp:lastModifiedBy>Natalie Corkery</cp:lastModifiedBy>
  <cp:revision>3</cp:revision>
  <cp:lastPrinted>2011-10-12T20:59:00Z</cp:lastPrinted>
  <dcterms:created xsi:type="dcterms:W3CDTF">2013-02-05T01:15:00Z</dcterms:created>
  <dcterms:modified xsi:type="dcterms:W3CDTF">2013-02-05T01:22:00Z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0x010100476B048BEC84C0429DE5701EDFD209C8</vt:lpwstr>
  </property>
</Properties>
</file>